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077" w:rsidRDefault="00580077" w:rsidP="003E4BDB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MS" w:hAnsi="ArialMS" w:cs="ArialMS"/>
        </w:rPr>
      </w:pPr>
    </w:p>
    <w:p w:rsidR="0058007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BaskervilleT-Bold" w:hAnsi="BaskervilleT-Bold" w:cs="BaskervilleT-Bold"/>
          <w:b/>
          <w:bCs/>
          <w:sz w:val="40"/>
          <w:szCs w:val="40"/>
        </w:rPr>
      </w:pPr>
      <w:r>
        <w:rPr>
          <w:rFonts w:ascii="BaskervilleT-Bold" w:hAnsi="BaskervilleT-Bold" w:cs="BaskervilleT-Bold"/>
          <w:b/>
          <w:bCs/>
          <w:sz w:val="40"/>
          <w:szCs w:val="40"/>
        </w:rPr>
        <w:t>Por qué es interesante la resolución infantil</w:t>
      </w:r>
      <w:r w:rsidR="002A7F2A">
        <w:rPr>
          <w:rFonts w:ascii="BaskervilleT-Bold" w:hAnsi="BaskervilleT-Bold" w:cs="BaskervilleT-Bold"/>
          <w:b/>
          <w:bCs/>
          <w:sz w:val="40"/>
          <w:szCs w:val="40"/>
        </w:rPr>
        <w:t xml:space="preserve"> </w:t>
      </w:r>
      <w:r>
        <w:rPr>
          <w:rFonts w:ascii="BaskervilleT-Bold" w:hAnsi="BaskervilleT-Bold" w:cs="BaskervilleT-Bold"/>
          <w:b/>
          <w:bCs/>
          <w:sz w:val="40"/>
          <w:szCs w:val="40"/>
        </w:rPr>
        <w:t>de problemas*</w:t>
      </w:r>
    </w:p>
    <w:p w:rsidR="002A7F2A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right"/>
        <w:rPr>
          <w:rFonts w:ascii="BaskervilleT-ReguItal" w:hAnsi="BaskervilleT-ReguItal" w:cs="BaskervilleT-ReguItal"/>
          <w:i/>
          <w:iCs/>
          <w:sz w:val="24"/>
          <w:szCs w:val="24"/>
        </w:rPr>
      </w:pPr>
      <w:r>
        <w:rPr>
          <w:rFonts w:ascii="BaskervilleT-ReguItal" w:hAnsi="BaskervilleT-ReguItal" w:cs="BaskervilleT-ReguItal"/>
          <w:i/>
          <w:iCs/>
          <w:sz w:val="24"/>
          <w:szCs w:val="24"/>
        </w:rPr>
        <w:t xml:space="preserve">S. </w:t>
      </w:r>
      <w:proofErr w:type="spellStart"/>
      <w:r>
        <w:rPr>
          <w:rFonts w:ascii="BaskervilleT-ReguItal" w:hAnsi="BaskervilleT-ReguItal" w:cs="BaskervilleT-ReguItal"/>
          <w:i/>
          <w:iCs/>
          <w:sz w:val="24"/>
          <w:szCs w:val="24"/>
        </w:rPr>
        <w:t>Thornton</w:t>
      </w:r>
      <w:proofErr w:type="spellEnd"/>
      <w:r w:rsidR="002A7F2A">
        <w:rPr>
          <w:rFonts w:ascii="BaskervilleT-ReguItal" w:hAnsi="BaskervilleT-ReguItal" w:cs="BaskervilleT-ReguItal"/>
          <w:i/>
          <w:iCs/>
          <w:sz w:val="24"/>
          <w:szCs w:val="24"/>
        </w:rPr>
        <w:t xml:space="preserve"> </w:t>
      </w:r>
    </w:p>
    <w:p w:rsidR="002A7F2A" w:rsidRDefault="002A7F2A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MS" w:hAnsi="ArialMS" w:cs="ArialMS"/>
        </w:rPr>
      </w:pPr>
    </w:p>
    <w:p w:rsidR="00580077" w:rsidRPr="00197857" w:rsidRDefault="002A7F2A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BaskervilleT-ReguItal"/>
          <w:i/>
          <w:iCs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Simón</w:t>
      </w:r>
      <w:r w:rsidR="00580077" w:rsidRPr="00197857">
        <w:rPr>
          <w:rFonts w:ascii="Verdana" w:hAnsi="Verdana" w:cs="ArialMS"/>
          <w:sz w:val="24"/>
          <w:szCs w:val="24"/>
        </w:rPr>
        <w:t xml:space="preserve"> y James (ambos de ocho años de edad) est</w:t>
      </w:r>
      <w:r w:rsidRPr="00197857">
        <w:rPr>
          <w:rFonts w:ascii="Verdana" w:hAnsi="Verdana" w:cs="ArialMS"/>
          <w:sz w:val="24"/>
          <w:szCs w:val="24"/>
        </w:rPr>
        <w:t xml:space="preserve">án jugando en el patio. Simulan </w:t>
      </w:r>
      <w:r w:rsidR="00580077" w:rsidRPr="00197857">
        <w:rPr>
          <w:rFonts w:ascii="Verdana" w:hAnsi="Verdana" w:cs="ArialMS"/>
          <w:sz w:val="24"/>
          <w:szCs w:val="24"/>
        </w:rPr>
        <w:t>haber naufragado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y estar atareados construyendo un refugio con diversos objetos que han encontrado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tirados por ahí: estacas de tomatera</w:t>
      </w:r>
      <w:r w:rsidRPr="00197857">
        <w:rPr>
          <w:rFonts w:ascii="Verdana" w:hAnsi="Verdana" w:cs="ArialMS"/>
          <w:sz w:val="24"/>
          <w:szCs w:val="24"/>
        </w:rPr>
        <w:t xml:space="preserve"> y trozos de cuerda para tender </w:t>
      </w:r>
      <w:r w:rsidR="00580077" w:rsidRPr="00197857">
        <w:rPr>
          <w:rFonts w:ascii="Verdana" w:hAnsi="Verdana" w:cs="ArialMS"/>
          <w:sz w:val="24"/>
          <w:szCs w:val="24"/>
        </w:rPr>
        <w:t>ropa, sábanas viejas, ramas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de helecho para techumbr</w:t>
      </w:r>
      <w:r w:rsidRPr="00197857">
        <w:rPr>
          <w:rFonts w:ascii="Verdana" w:hAnsi="Verdana" w:cs="ArialMS"/>
          <w:sz w:val="24"/>
          <w:szCs w:val="24"/>
        </w:rPr>
        <w:t xml:space="preserve">e y el embalaje de cartón de un </w:t>
      </w:r>
      <w:r w:rsidR="00580077" w:rsidRPr="00197857">
        <w:rPr>
          <w:rFonts w:ascii="Verdana" w:hAnsi="Verdana" w:cs="ArialMS"/>
          <w:sz w:val="24"/>
          <w:szCs w:val="24"/>
        </w:rPr>
        <w:t>nuevo refrigerador. Este tipo de juego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es típico en la infancia. Absorbe a los niños en una concentración total, creando una intensa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excitación y tanto entusiasmo que puede ser difícil persuadirles de que lo abandonen para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comer o irse a la cama. Y, sin embargo, el principal ingrediente en este juego –como en muchísimos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otros– es la resolución de problemas: averiguar dónde comenzar, juzgar qué cosas de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las disponibles se deben utilizar, planear el siguiente paso, luchar con las dificultades de unir los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elementos, y estudiar qué estaba mal si el refugio se derrumba. Juegos como éste hacen absolutamente</w:t>
      </w:r>
      <w:r w:rsidRPr="00197857">
        <w:rPr>
          <w:rFonts w:ascii="Verdana" w:hAnsi="Verdana" w:cs="BaskervilleT-ReguItal"/>
          <w:i/>
          <w:iCs/>
          <w:sz w:val="24"/>
          <w:szCs w:val="24"/>
        </w:rPr>
        <w:t xml:space="preserve"> </w:t>
      </w:r>
      <w:r w:rsidR="00580077" w:rsidRPr="00197857">
        <w:rPr>
          <w:rFonts w:ascii="Verdana" w:hAnsi="Verdana" w:cs="ArialMS"/>
          <w:sz w:val="24"/>
          <w:szCs w:val="24"/>
        </w:rPr>
        <w:t>patente que los niños pueden divertirse de verdad resolviendo problemas.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El hecho de que disfruten resolviendo problemas es un tanto sorprendente. Por definición,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“resolución de problemas” es lo que se hace cuando se tiene una meta y no se sabe cómo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alcanzarla, de manera que podríamos haber esperado que fuera una experiencia bastante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frustrante y negativa. Averiguar cómo resolver un problema nuevo también es una tarea intelectual</w:t>
      </w:r>
      <w:r w:rsidR="002A7F2A" w:rsidRPr="00197857">
        <w:rPr>
          <w:rFonts w:ascii="Verdana" w:hAnsi="Verdana" w:cs="ArialMS"/>
          <w:sz w:val="24"/>
          <w:szCs w:val="24"/>
        </w:rPr>
        <w:t xml:space="preserve">  </w:t>
      </w:r>
      <w:r w:rsidRPr="00197857">
        <w:rPr>
          <w:rFonts w:ascii="Verdana" w:hAnsi="Verdana" w:cs="ArialMS"/>
          <w:sz w:val="24"/>
          <w:szCs w:val="24"/>
        </w:rPr>
        <w:t>estimulante, que empuja a los niños a valorar sus propios esfuerzos, a descubrir nuevos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Aunque este texto es sólo la presentación general de los capítulos que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integran el libro escrito por la autora, se destacan de manera sintética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ideas fundamentales que merecen análisis y reflexión para comprender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mejor qué significa y qué implica la resolución de problemas para los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niños pequeños.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proofErr w:type="gramStart"/>
      <w:r w:rsidRPr="00197857">
        <w:rPr>
          <w:rFonts w:ascii="Verdana" w:hAnsi="Verdana" w:cs="ArialMS"/>
          <w:sz w:val="24"/>
          <w:szCs w:val="24"/>
        </w:rPr>
        <w:t>conceptos</w:t>
      </w:r>
      <w:proofErr w:type="gramEnd"/>
      <w:r w:rsidRPr="00197857">
        <w:rPr>
          <w:rFonts w:ascii="Verdana" w:hAnsi="Verdana" w:cs="ArialMS"/>
          <w:sz w:val="24"/>
          <w:szCs w:val="24"/>
        </w:rPr>
        <w:t xml:space="preserve"> y a inventar estrategias nuevas. Estamos acostumbrados a pensar en ello como un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trabajo, como algo monótono y aburrido, en lugar de divertido. Pero los niños disfrutan resolviendo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problemas incluso en la cuna (¿cómo se consigue hacer vibrar un sonajero?), lo que</w:t>
      </w:r>
      <w:r w:rsidR="002A7F2A" w:rsidRPr="00197857">
        <w:rPr>
          <w:rFonts w:ascii="Verdana" w:hAnsi="Verdana" w:cs="ArialMS"/>
          <w:sz w:val="24"/>
          <w:szCs w:val="24"/>
        </w:rPr>
        <w:t xml:space="preserve"> muestra lo  f</w:t>
      </w:r>
      <w:r w:rsidRPr="00197857">
        <w:rPr>
          <w:rFonts w:ascii="Verdana" w:hAnsi="Verdana" w:cs="ArialMS"/>
          <w:sz w:val="24"/>
          <w:szCs w:val="24"/>
        </w:rPr>
        <w:t>undamental que es el proceso de resolver problemas para nuestra naturaleza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humana, y para la infancia.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 xml:space="preserve">Sin embargo, resolver problemas </w:t>
      </w:r>
      <w:r w:rsidRPr="00197857">
        <w:rPr>
          <w:rFonts w:ascii="Verdana" w:hAnsi="Verdana" w:cs="Arial-ItalicMS"/>
          <w:i/>
          <w:iCs/>
          <w:sz w:val="24"/>
          <w:szCs w:val="24"/>
        </w:rPr>
        <w:t xml:space="preserve">es </w:t>
      </w:r>
      <w:r w:rsidRPr="00197857">
        <w:rPr>
          <w:rFonts w:ascii="Verdana" w:hAnsi="Verdana" w:cs="ArialMS"/>
          <w:sz w:val="24"/>
          <w:szCs w:val="24"/>
        </w:rPr>
        <w:t>un trabajo difícil, especialmente para los más pequeños.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Cuanto menor es el niño, menor es el conjunto de problemas que tiene posibilidad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resolver, y mayor el esfuerzo implicado. Los bebés muy pequeños pueden pasar horas intentando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meterse el pulgar en la boca (clavándoselo en la frente y la nariz cuando calculan mal),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aunque esta tarea ya no es un problema para el niño de seis meses. El intento de poner en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equilibrio tres bloques uno </w:t>
      </w:r>
      <w:r w:rsidRPr="00197857">
        <w:rPr>
          <w:rFonts w:ascii="Verdana" w:hAnsi="Verdana" w:cs="ArialMS"/>
          <w:sz w:val="24"/>
          <w:szCs w:val="24"/>
        </w:rPr>
        <w:lastRenderedPageBreak/>
        <w:t>encima del otro puede confundir –y divertir– a un niño de un año,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pero es trivial para un hermano mayor. Los niños en edad preescolar pueden resolver con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facilidad muchos problemas completamente fuera del alcance del pequeño de un año, pero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sus esfuerzos son inútiles ante un conjunto de problemas, como atarse los cordones de los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zapatos, hacer cálculos aritméticos básicos, jugar al ajedrez, planear una salida de compras,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etcétera, que son fáciles para el niño de siete o 10 años. Los niños de 10 años pueden impresionarnos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con la diversidad de problemas que son capaces de abordar; desde arreglar juguetes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complejos hasta dominar conceptos difíciles en la escuela o interpretar sutiles claves sociales.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Pero su resolución de problemas es inmadura todavía incluso a esta edad: por ejemplo,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pocos adultos, al no tener una embarcación para remar en un estanque, se echarían al agua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en una caja de cartón, aunque estas ocurrencias no constituyen una sorpresa para los padres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 un niño de 10 años.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El indiscutible incremento evolutivo en la capacidad para resolver problemas es un enigma.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¿Procede de cambios básicos en las destrezas mentales –en la capacidad misma para razonar–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a medida que el niño se hace </w:t>
      </w:r>
      <w:r w:rsidR="002A7F2A" w:rsidRPr="00197857">
        <w:rPr>
          <w:rFonts w:ascii="Verdana" w:hAnsi="Verdana" w:cs="ArialMS"/>
          <w:sz w:val="24"/>
          <w:szCs w:val="24"/>
        </w:rPr>
        <w:t xml:space="preserve">mayor? Si es así, ¿cómo cambian </w:t>
      </w:r>
      <w:r w:rsidRPr="00197857">
        <w:rPr>
          <w:rFonts w:ascii="Verdana" w:hAnsi="Verdana" w:cs="ArialMS"/>
          <w:sz w:val="24"/>
          <w:szCs w:val="24"/>
        </w:rPr>
        <w:t>exactamente estas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destrezas? ¿O es más una cuestión de práctica, de aprender a aplicar acertadamente destrezas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en nuevos contextos? ¿Qué hacen los niños cuando intentan resolver problemas y cómo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mejoran en su resolución?</w:t>
      </w:r>
    </w:p>
    <w:p w:rsidR="002A7F2A" w:rsidRPr="00197857" w:rsidRDefault="002A7F2A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Verdana" w:hAnsi="Verdana" w:cs="ArialMS"/>
          <w:sz w:val="24"/>
          <w:szCs w:val="24"/>
        </w:rPr>
      </w:pPr>
    </w:p>
    <w:p w:rsidR="00580077" w:rsidRPr="00197857" w:rsidRDefault="00580077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Verdana" w:hAnsi="Verdana" w:cs="BaskervilleT-Medi"/>
          <w:b/>
          <w:sz w:val="24"/>
          <w:szCs w:val="24"/>
        </w:rPr>
      </w:pPr>
      <w:r w:rsidRPr="00197857">
        <w:rPr>
          <w:rFonts w:ascii="Verdana" w:hAnsi="Verdana" w:cs="BaskervilleT-Medi"/>
          <w:b/>
          <w:sz w:val="24"/>
          <w:szCs w:val="24"/>
        </w:rPr>
        <w:t>El proceso de resolver problemas</w:t>
      </w:r>
    </w:p>
    <w:p w:rsidR="002A7F2A" w:rsidRPr="00197857" w:rsidRDefault="002A7F2A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Verdana" w:hAnsi="Verdana" w:cs="BaskervilleT-Medi"/>
          <w:sz w:val="24"/>
          <w:szCs w:val="24"/>
        </w:rPr>
      </w:pP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Este libro no aborda cómo mejorar la resolución de problemas de un niño, más bien, trata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sobre el proceso de resolver problemas y la manera en que este proceso se desarrolla durante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la niñez.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¿Cómo podemos explorar las motivaciones y los procesos mentales que los niños aportan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a la resolución de problemas? ¿Cómo podemos descubrir, por ejemplo, qué fue lo que llevó 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James a la decisión de techar su refugio con helecho en lugar de hierba u hojas, o cómo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concibió </w:t>
      </w:r>
      <w:r w:rsidR="002A7F2A" w:rsidRPr="00197857">
        <w:rPr>
          <w:rFonts w:ascii="Verdana" w:hAnsi="Verdana" w:cs="ArialMS"/>
          <w:sz w:val="24"/>
          <w:szCs w:val="24"/>
        </w:rPr>
        <w:t>Simón</w:t>
      </w:r>
      <w:r w:rsidRPr="00197857">
        <w:rPr>
          <w:rFonts w:ascii="Verdana" w:hAnsi="Verdana" w:cs="ArialMS"/>
          <w:sz w:val="24"/>
          <w:szCs w:val="24"/>
        </w:rPr>
        <w:t xml:space="preserve"> la idea de entretejer los tallos de helecho de manera que no se deslizaran por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el tejado? ¿Cómo podemos descubrir qué motivó a estos dos niños para que se afanaran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durante seis horas en su tarea, cuando la simple propuesta de hacer los deberes o de ordenar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su habitación causaría un agotamiento inmediato?</w:t>
      </w:r>
    </w:p>
    <w:p w:rsidR="00580077" w:rsidRPr="00197857" w:rsidRDefault="00580077" w:rsidP="002A7F2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No podemos ver realmente los procesos mentales y las motivaciones implicados en resolver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problemas. Sólo podemos hacer inferencias sobre lo que está en la mente del niño. Sin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embargo, a veces tenemos la impresión de que literalmente podemos ver el pensamiento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los niños a partir de la concentración de su rostro o la expresión curiosa en sus ojos. Con un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niño al que conocemos bien, ¡a veces podemos tener también la impresión de que sabemos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exactamente lo que está pensando! Pero es sólo una ilusión. Todo lo que vemos es la conducta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exterior, no el proceso mental o el motivo </w:t>
      </w:r>
      <w:r w:rsidRPr="00197857">
        <w:rPr>
          <w:rFonts w:ascii="Verdana" w:hAnsi="Verdana" w:cs="ArialMS"/>
          <w:sz w:val="24"/>
          <w:szCs w:val="24"/>
        </w:rPr>
        <w:lastRenderedPageBreak/>
        <w:t>que la produjo. Casi siempre hay más de una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interpretación de lo que vemos. La mayoría de los padres saben que una mirada de concentración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en un bebé a veces indica fascinación por un nuevo descubrimiento, ¡pero también, con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igual frecuencia, que está haciendo uso del pañal! Igualmente, se puede felicitar a un grupo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niños por la balsa que han construido, sólo para recibir la respuesta fulminante de que no es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una balsa, sino una estación espacial, y lo que está apoyado contra ella no es un timón, sino un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reactor nuclear. ¿Y qué profesor no se ha preguntado, en un momento u otro, si el niño que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está con la mirada perdida en el fondo de la clase está soñando despierto o pensando lo que va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a escribir ahora?</w:t>
      </w:r>
    </w:p>
    <w:p w:rsidR="00580077" w:rsidRPr="00197857" w:rsidRDefault="0058007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Sin embargo, hay maneras de interpretar lo que vemos cuando los niños resuelven problemas,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y de comprobar lo buena que es nuestra interpretación. Podemos formar teorías sobre el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desarrollo de la resolución de problemas utilizando todo tipo de claves, desde los errores que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cometen los niños hasta sus modelos de éxitos y fracasos, desde escuchar lo que ellos mismos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nos dicen hasta analizar detalladamente sus acciones. Podemos comprobar esas teorías viendo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si predicen lo que harán los niños en una situación nueva o explorando cómo se comportan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sus simulaciones por ordenador. Como demostrarán las investigaciones que describo aquí,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las mejoras en las herramientas que utilizamos para estudiar la resolución de problemas de los</w:t>
      </w:r>
      <w:r w:rsid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niños están llevando a una nueva comprensión de cómo se desarrollan esas destrezas.</w:t>
      </w:r>
    </w:p>
    <w:p w:rsidR="00580077" w:rsidRPr="00197857" w:rsidRDefault="0058007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Resolver un problema no depende, como suponemos a menudo, de ser muy listos o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tipos de razonamiento</w:t>
      </w:r>
      <w:r w:rsidR="00197857" w:rsidRPr="00197857">
        <w:rPr>
          <w:rFonts w:ascii="Verdana" w:hAnsi="Verdana" w:cs="ArialMS"/>
          <w:sz w:val="24"/>
          <w:szCs w:val="24"/>
        </w:rPr>
        <w:t>s</w:t>
      </w:r>
      <w:r w:rsidRPr="00197857">
        <w:rPr>
          <w:rFonts w:ascii="Verdana" w:hAnsi="Verdana" w:cs="ArialMS"/>
          <w:sz w:val="24"/>
          <w:szCs w:val="24"/>
        </w:rPr>
        <w:t xml:space="preserve"> difíciles y abstractos, como la lógica. La idea de que la lógica es el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elemento crítico en la resolución de problemas ha sido una parte clave de algunas teorías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influyentes, incluida la de Jean Piaget.1 Pero existe un conjunto de datos cada vez mayor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que las dificultades del niño pequeño al resolver problemas tienen poco que ver con la debilidad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 las destrezas lógicas y que incluso los adultos raramente razonan de manera abstracta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o lógica […] las destrezas de resolución de problemas se derivan del proceso ordinario de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comprender el mundo que nos rodea, de descubrir y utilizar la información, y de reaccionar a la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retroalimentación (</w:t>
      </w:r>
      <w:proofErr w:type="spellStart"/>
      <w:r w:rsidRPr="00197857">
        <w:rPr>
          <w:rFonts w:ascii="Verdana" w:hAnsi="Verdana" w:cs="Arial-ItalicMS"/>
          <w:i/>
          <w:iCs/>
          <w:sz w:val="24"/>
          <w:szCs w:val="24"/>
        </w:rPr>
        <w:t>feedback</w:t>
      </w:r>
      <w:proofErr w:type="spellEnd"/>
      <w:r w:rsidRPr="00197857">
        <w:rPr>
          <w:rFonts w:ascii="Verdana" w:hAnsi="Verdana" w:cs="ArialMS"/>
          <w:sz w:val="24"/>
          <w:szCs w:val="24"/>
        </w:rPr>
        <w:t>) que proporcionan nuestras actividades e interpretarla.</w:t>
      </w:r>
    </w:p>
    <w:p w:rsidR="00580077" w:rsidRDefault="0058007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La resolución de problemas trata sobre el cambio, sobre cómo pasar de una idea a otra</w:t>
      </w:r>
      <w:r w:rsidR="002A7F2A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nueva. Inventar una solución nueva a un problema es un proceso muy creativo. Los niños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idean nuevas estrategias según interactúan con un problema.</w:t>
      </w:r>
    </w:p>
    <w:p w:rsidR="00197857" w:rsidRPr="00197857" w:rsidRDefault="0019785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</w:p>
    <w:p w:rsidR="00580077" w:rsidRPr="00197857" w:rsidRDefault="0058007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La resolución de problemas es cualquier cosa menos una actividad árida e intelectual, […] el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creciente éxito del niño al resolver problemas es un proceso social vinculado a los sentimientos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mucho más de lo que solíamos pensar: la confianza puede ser más importante que la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destreza. Las razones por las que dirigimos nuestra atención a un problema pueden tener un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efecto enorme en el hecho </w:t>
      </w:r>
      <w:r w:rsidRPr="00197857">
        <w:rPr>
          <w:rFonts w:ascii="Verdana" w:hAnsi="Verdana" w:cs="ArialMS"/>
          <w:sz w:val="24"/>
          <w:szCs w:val="24"/>
        </w:rPr>
        <w:lastRenderedPageBreak/>
        <w:t>de que lo resolvamos acertadamente o no. Como propuso el psicólogo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 xml:space="preserve">ruso </w:t>
      </w:r>
      <w:proofErr w:type="spellStart"/>
      <w:r w:rsidRPr="00197857">
        <w:rPr>
          <w:rFonts w:ascii="Verdana" w:hAnsi="Verdana" w:cs="ArialMS"/>
          <w:sz w:val="24"/>
          <w:szCs w:val="24"/>
        </w:rPr>
        <w:t>Lev</w:t>
      </w:r>
      <w:proofErr w:type="spellEnd"/>
      <w:r w:rsidRPr="00197857">
        <w:rPr>
          <w:rFonts w:ascii="Verdana" w:hAnsi="Verdana" w:cs="ArialMS"/>
          <w:sz w:val="24"/>
          <w:szCs w:val="24"/>
        </w:rPr>
        <w:t xml:space="preserve"> </w:t>
      </w:r>
      <w:proofErr w:type="spellStart"/>
      <w:r w:rsidRPr="00197857">
        <w:rPr>
          <w:rFonts w:ascii="Verdana" w:hAnsi="Verdana" w:cs="ArialMS"/>
          <w:sz w:val="24"/>
          <w:szCs w:val="24"/>
        </w:rPr>
        <w:t>Vygotsky</w:t>
      </w:r>
      <w:proofErr w:type="spellEnd"/>
      <w:r w:rsidRPr="00197857">
        <w:rPr>
          <w:rFonts w:ascii="Verdana" w:hAnsi="Verdana" w:cs="ArialMS"/>
          <w:sz w:val="24"/>
          <w:szCs w:val="24"/>
        </w:rPr>
        <w:t>, la resolución de problemas es una destreza social aprendida en las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interacciones sociales en el contexto de las actividades diarias.2 Es mucho más maleable, y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más fácil de enseñar, de lo que suponíamos.</w:t>
      </w:r>
    </w:p>
    <w:p w:rsidR="00580077" w:rsidRPr="00197857" w:rsidRDefault="0058007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ArialMS"/>
          <w:sz w:val="24"/>
          <w:szCs w:val="24"/>
        </w:rPr>
      </w:pPr>
      <w:r w:rsidRPr="00197857">
        <w:rPr>
          <w:rFonts w:ascii="Verdana" w:hAnsi="Verdana" w:cs="ArialMS"/>
          <w:sz w:val="24"/>
          <w:szCs w:val="24"/>
        </w:rPr>
        <w:t>Si unimos todas estas cuestiones, el proceso de resolver problemas surge como una parte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central de nuestra vida cotidiana. Comprender la resolución de problemas es arrojar luz no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sólo sobre la naturaleza de la inteligencia humana como un todo, sino sobre el núcleo mismo</w:t>
      </w:r>
      <w:r w:rsidR="00197857" w:rsidRPr="00197857">
        <w:rPr>
          <w:rFonts w:ascii="Verdana" w:hAnsi="Verdana" w:cs="ArialMS"/>
          <w:sz w:val="24"/>
          <w:szCs w:val="24"/>
        </w:rPr>
        <w:t xml:space="preserve"> </w:t>
      </w:r>
      <w:r w:rsidRPr="00197857">
        <w:rPr>
          <w:rFonts w:ascii="Verdana" w:hAnsi="Verdana" w:cs="ArialMS"/>
          <w:sz w:val="24"/>
          <w:szCs w:val="24"/>
        </w:rPr>
        <w:t>de la imaginación humana.</w:t>
      </w:r>
    </w:p>
    <w:p w:rsidR="002A7F2A" w:rsidRPr="00197857" w:rsidRDefault="002A7F2A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BaskervilleT-Regu" w:hAnsi="BaskervilleT-Regu" w:cs="BaskervilleT-Regu"/>
          <w:sz w:val="10"/>
          <w:szCs w:val="10"/>
        </w:rPr>
      </w:pPr>
    </w:p>
    <w:p w:rsidR="002A7F2A" w:rsidRPr="00197857" w:rsidRDefault="002A7F2A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BaskervilleT-Regu" w:hAnsi="BaskervilleT-Regu" w:cs="BaskervilleT-Regu"/>
          <w:sz w:val="10"/>
          <w:szCs w:val="10"/>
        </w:rPr>
      </w:pPr>
    </w:p>
    <w:p w:rsidR="002A7F2A" w:rsidRPr="00197857" w:rsidRDefault="002A7F2A" w:rsidP="00580077">
      <w:pPr>
        <w:autoSpaceDE w:val="0"/>
        <w:autoSpaceDN w:val="0"/>
        <w:adjustRightInd w:val="0"/>
        <w:spacing w:before="0" w:beforeAutospacing="0" w:after="0" w:afterAutospacing="0"/>
        <w:rPr>
          <w:rFonts w:ascii="Verdana" w:hAnsi="Verdana" w:cs="BaskervilleT-Regu"/>
          <w:sz w:val="24"/>
          <w:szCs w:val="24"/>
        </w:rPr>
      </w:pPr>
    </w:p>
    <w:p w:rsidR="002A7F2A" w:rsidRPr="00197857" w:rsidRDefault="0019785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BaskervilleT-Regu"/>
          <w:sz w:val="24"/>
          <w:szCs w:val="24"/>
        </w:rPr>
      </w:pPr>
      <w:r w:rsidRPr="00995B67">
        <w:rPr>
          <w:rFonts w:ascii="Verdana" w:hAnsi="Verdana" w:cs="BaskervilleT-Regu"/>
          <w:b/>
          <w:sz w:val="24"/>
          <w:szCs w:val="24"/>
          <w:lang w:val="en-US"/>
        </w:rPr>
        <w:t>Piaget</w:t>
      </w:r>
      <w:r w:rsidR="002A7F2A" w:rsidRPr="00995B67">
        <w:rPr>
          <w:rFonts w:ascii="Verdana" w:hAnsi="Verdana" w:cs="BaskervilleT-Regu"/>
          <w:b/>
          <w:sz w:val="24"/>
          <w:szCs w:val="24"/>
          <w:lang w:val="en-US"/>
        </w:rPr>
        <w:t>,</w:t>
      </w:r>
      <w:r w:rsidR="002A7F2A" w:rsidRPr="00197857">
        <w:rPr>
          <w:rFonts w:ascii="Verdana" w:hAnsi="Verdana" w:cs="BaskervilleT-Regu"/>
          <w:sz w:val="24"/>
          <w:szCs w:val="24"/>
          <w:lang w:val="en-US"/>
        </w:rPr>
        <w:t xml:space="preserve"> </w:t>
      </w:r>
      <w:r w:rsidR="00995B67">
        <w:rPr>
          <w:rFonts w:ascii="Verdana" w:hAnsi="Verdana" w:cs="BaskervilleT-Regu"/>
          <w:sz w:val="24"/>
          <w:szCs w:val="24"/>
          <w:lang w:val="en-US"/>
        </w:rPr>
        <w:t xml:space="preserve">J. </w:t>
      </w:r>
      <w:r w:rsidR="002A7F2A" w:rsidRPr="00197857">
        <w:rPr>
          <w:rFonts w:ascii="Verdana" w:hAnsi="Verdana" w:cs="BaskervilleT-Regu"/>
          <w:sz w:val="24"/>
          <w:szCs w:val="24"/>
          <w:lang w:val="en-US"/>
        </w:rPr>
        <w:t xml:space="preserve">Genetic </w:t>
      </w:r>
      <w:proofErr w:type="spellStart"/>
      <w:r w:rsidR="002A7F2A" w:rsidRPr="00197857">
        <w:rPr>
          <w:rFonts w:ascii="Verdana" w:hAnsi="Verdana" w:cs="BaskervilleT-Regu"/>
          <w:sz w:val="24"/>
          <w:szCs w:val="24"/>
          <w:lang w:val="en-US"/>
        </w:rPr>
        <w:t>Epistemilogy</w:t>
      </w:r>
      <w:proofErr w:type="spellEnd"/>
      <w:r w:rsidR="002A7F2A" w:rsidRPr="00197857">
        <w:rPr>
          <w:rFonts w:ascii="Verdana" w:hAnsi="Verdana" w:cs="BaskervilleT-Regu"/>
          <w:sz w:val="24"/>
          <w:szCs w:val="24"/>
          <w:lang w:val="en-US"/>
        </w:rPr>
        <w:t xml:space="preserve">, Nueva York, Columbia University Press, 1968. </w:t>
      </w:r>
      <w:r w:rsidR="002A7F2A" w:rsidRPr="00197857">
        <w:rPr>
          <w:rFonts w:ascii="Verdana" w:hAnsi="Verdana" w:cs="BaskervilleT-Regu"/>
          <w:sz w:val="24"/>
          <w:szCs w:val="24"/>
        </w:rPr>
        <w:t xml:space="preserve">(Trad. </w:t>
      </w:r>
      <w:proofErr w:type="spellStart"/>
      <w:r w:rsidR="002A7F2A" w:rsidRPr="00197857">
        <w:rPr>
          <w:rFonts w:ascii="Verdana" w:hAnsi="Verdana" w:cs="BaskervilleT-Regu"/>
          <w:sz w:val="24"/>
          <w:szCs w:val="24"/>
        </w:rPr>
        <w:t>cast</w:t>
      </w:r>
      <w:proofErr w:type="spellEnd"/>
      <w:r w:rsidR="002A7F2A" w:rsidRPr="00197857">
        <w:rPr>
          <w:rFonts w:ascii="Verdana" w:hAnsi="Verdana" w:cs="BaskervilleT-Regu"/>
          <w:sz w:val="24"/>
          <w:szCs w:val="24"/>
        </w:rPr>
        <w:t>.: La epistemología genética, Madrid, Debate, 1986).</w:t>
      </w:r>
    </w:p>
    <w:p w:rsidR="002A7F2A" w:rsidRPr="00197857" w:rsidRDefault="002A7F2A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BaskervilleT-Regu"/>
          <w:sz w:val="24"/>
          <w:szCs w:val="24"/>
        </w:rPr>
      </w:pPr>
    </w:p>
    <w:p w:rsidR="00580077" w:rsidRDefault="0019785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BaskervilleT-Regu"/>
          <w:sz w:val="24"/>
          <w:szCs w:val="24"/>
          <w:lang w:val="en-US"/>
        </w:rPr>
      </w:pPr>
      <w:proofErr w:type="spellStart"/>
      <w:r w:rsidRPr="00995B67">
        <w:rPr>
          <w:rFonts w:ascii="Verdana" w:hAnsi="Verdana" w:cs="BaskervilleT-Regu"/>
          <w:b/>
          <w:sz w:val="24"/>
          <w:szCs w:val="24"/>
          <w:lang w:val="en-US"/>
        </w:rPr>
        <w:t>Vygotsky</w:t>
      </w:r>
      <w:proofErr w:type="spellEnd"/>
      <w:r w:rsidR="00580077" w:rsidRPr="00197857">
        <w:rPr>
          <w:rFonts w:ascii="Verdana" w:hAnsi="Verdana" w:cs="BaskervilleT-Regu"/>
          <w:sz w:val="24"/>
          <w:szCs w:val="24"/>
          <w:lang w:val="en-US"/>
        </w:rPr>
        <w:t>,</w:t>
      </w:r>
      <w:r w:rsidR="00995B67">
        <w:rPr>
          <w:rFonts w:ascii="Verdana" w:hAnsi="Verdana" w:cs="BaskervilleT-Regu"/>
          <w:sz w:val="24"/>
          <w:szCs w:val="24"/>
          <w:lang w:val="en-US"/>
        </w:rPr>
        <w:t xml:space="preserve"> L. </w:t>
      </w:r>
      <w:r w:rsidR="00580077" w:rsidRPr="00197857">
        <w:rPr>
          <w:rFonts w:ascii="Verdana" w:hAnsi="Verdana" w:cs="BaskervilleT-Regu"/>
          <w:sz w:val="24"/>
          <w:szCs w:val="24"/>
          <w:lang w:val="en-US"/>
        </w:rPr>
        <w:t xml:space="preserve"> </w:t>
      </w:r>
      <w:proofErr w:type="gramStart"/>
      <w:r w:rsidR="00580077" w:rsidRPr="00197857">
        <w:rPr>
          <w:rFonts w:ascii="Verdana" w:hAnsi="Verdana" w:cs="BaskervilleT-Regu"/>
          <w:sz w:val="24"/>
          <w:szCs w:val="24"/>
          <w:lang w:val="en-US"/>
        </w:rPr>
        <w:t xml:space="preserve">Thought and Language, Cambridge, Mass., MIT </w:t>
      </w:r>
      <w:r w:rsidR="00995B67">
        <w:rPr>
          <w:rFonts w:ascii="Verdana" w:hAnsi="Verdana" w:cs="BaskervilleT-Regu"/>
          <w:sz w:val="24"/>
          <w:szCs w:val="24"/>
          <w:lang w:val="en-US"/>
        </w:rPr>
        <w:t>Press, 1962.</w:t>
      </w:r>
      <w:proofErr w:type="gramEnd"/>
      <w:r w:rsidR="00995B67">
        <w:rPr>
          <w:rFonts w:ascii="Verdana" w:hAnsi="Verdana" w:cs="BaskervilleT-Regu"/>
          <w:sz w:val="24"/>
          <w:szCs w:val="24"/>
          <w:lang w:val="en-US"/>
        </w:rPr>
        <w:t xml:space="preserve"> </w:t>
      </w:r>
      <w:proofErr w:type="gramStart"/>
      <w:r w:rsidR="00995B67">
        <w:rPr>
          <w:rFonts w:ascii="Verdana" w:hAnsi="Verdana" w:cs="BaskervilleT-Regu"/>
          <w:sz w:val="24"/>
          <w:szCs w:val="24"/>
          <w:lang w:val="en-US"/>
        </w:rPr>
        <w:t>(</w:t>
      </w:r>
      <w:proofErr w:type="spellStart"/>
      <w:r w:rsidR="00995B67">
        <w:rPr>
          <w:rFonts w:ascii="Verdana" w:hAnsi="Verdana" w:cs="BaskervilleT-Regu"/>
          <w:sz w:val="24"/>
          <w:szCs w:val="24"/>
          <w:lang w:val="en-US"/>
        </w:rPr>
        <w:t>Trad</w:t>
      </w:r>
      <w:proofErr w:type="spellEnd"/>
      <w:r w:rsidR="00995B67">
        <w:rPr>
          <w:rFonts w:ascii="Verdana" w:hAnsi="Verdana" w:cs="BaskervilleT-Regu"/>
          <w:sz w:val="24"/>
          <w:szCs w:val="24"/>
          <w:lang w:val="en-US"/>
        </w:rPr>
        <w:t xml:space="preserve">. </w:t>
      </w:r>
      <w:r w:rsidR="00580077" w:rsidRPr="00197857">
        <w:rPr>
          <w:rFonts w:ascii="Verdana" w:hAnsi="Verdana" w:cs="BaskervilleT-Regu"/>
          <w:sz w:val="24"/>
          <w:szCs w:val="24"/>
          <w:lang w:val="en-US"/>
        </w:rPr>
        <w:t xml:space="preserve">cast.: </w:t>
      </w:r>
      <w:proofErr w:type="spellStart"/>
      <w:r w:rsidR="00580077" w:rsidRPr="00197857">
        <w:rPr>
          <w:rFonts w:ascii="Verdana" w:hAnsi="Verdana" w:cs="BaskervilleT-Regu"/>
          <w:sz w:val="24"/>
          <w:szCs w:val="24"/>
          <w:lang w:val="en-US"/>
        </w:rPr>
        <w:t>Pensamiento</w:t>
      </w:r>
      <w:proofErr w:type="spellEnd"/>
      <w:r w:rsidR="00580077" w:rsidRPr="00197857">
        <w:rPr>
          <w:rFonts w:ascii="Verdana" w:hAnsi="Verdana" w:cs="BaskervilleT-Regu"/>
          <w:sz w:val="24"/>
          <w:szCs w:val="24"/>
          <w:lang w:val="en-US"/>
        </w:rPr>
        <w:t xml:space="preserve"> y </w:t>
      </w:r>
      <w:proofErr w:type="spellStart"/>
      <w:r w:rsidR="00580077" w:rsidRPr="00197857">
        <w:rPr>
          <w:rFonts w:ascii="Verdana" w:hAnsi="Verdana" w:cs="BaskervilleT-Regu"/>
          <w:sz w:val="24"/>
          <w:szCs w:val="24"/>
          <w:lang w:val="en-US"/>
        </w:rPr>
        <w:t>lenguaje</w:t>
      </w:r>
      <w:proofErr w:type="spellEnd"/>
      <w:r w:rsidR="00580077" w:rsidRPr="00197857">
        <w:rPr>
          <w:rFonts w:ascii="Verdana" w:hAnsi="Verdana" w:cs="BaskervilleT-Regu"/>
          <w:sz w:val="24"/>
          <w:szCs w:val="24"/>
          <w:lang w:val="en-US"/>
        </w:rPr>
        <w:t xml:space="preserve">, Barcelona, </w:t>
      </w:r>
      <w:proofErr w:type="spellStart"/>
      <w:r w:rsidR="00580077" w:rsidRPr="00197857">
        <w:rPr>
          <w:rFonts w:ascii="Verdana" w:hAnsi="Verdana" w:cs="BaskervilleT-Regu"/>
          <w:sz w:val="24"/>
          <w:szCs w:val="24"/>
          <w:lang w:val="en-US"/>
        </w:rPr>
        <w:t>Paidós</w:t>
      </w:r>
      <w:proofErr w:type="spellEnd"/>
      <w:r w:rsidR="00580077" w:rsidRPr="00197857">
        <w:rPr>
          <w:rFonts w:ascii="Verdana" w:hAnsi="Verdana" w:cs="BaskervilleT-Regu"/>
          <w:sz w:val="24"/>
          <w:szCs w:val="24"/>
          <w:lang w:val="en-US"/>
        </w:rPr>
        <w:t>,</w:t>
      </w:r>
      <w:r w:rsidRPr="00197857">
        <w:rPr>
          <w:rFonts w:ascii="Verdana" w:hAnsi="Verdana" w:cs="BaskervilleT-Regu"/>
          <w:sz w:val="24"/>
          <w:szCs w:val="24"/>
          <w:lang w:val="en-US"/>
        </w:rPr>
        <w:t xml:space="preserve"> </w:t>
      </w:r>
      <w:r w:rsidR="00580077" w:rsidRPr="00197857">
        <w:rPr>
          <w:rFonts w:ascii="Verdana" w:hAnsi="Verdana" w:cs="BaskervilleT-Regu"/>
          <w:sz w:val="24"/>
          <w:szCs w:val="24"/>
          <w:lang w:val="en-US"/>
        </w:rPr>
        <w:t>1995).</w:t>
      </w:r>
      <w:proofErr w:type="gramEnd"/>
    </w:p>
    <w:p w:rsidR="00995B67" w:rsidRPr="00197857" w:rsidRDefault="00995B67" w:rsidP="00197857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Verdana" w:hAnsi="Verdana" w:cs="BaskervilleT-Regu"/>
          <w:sz w:val="24"/>
          <w:szCs w:val="24"/>
          <w:lang w:val="en-US"/>
        </w:rPr>
      </w:pPr>
    </w:p>
    <w:sectPr w:rsidR="00995B67" w:rsidRPr="00197857" w:rsidSect="00EF05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T-ReguIt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-Italic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T-Med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T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E4BDB"/>
    <w:rsid w:val="00197857"/>
    <w:rsid w:val="00275FD8"/>
    <w:rsid w:val="002A7F2A"/>
    <w:rsid w:val="003E4BDB"/>
    <w:rsid w:val="00454B10"/>
    <w:rsid w:val="00580077"/>
    <w:rsid w:val="0065647A"/>
    <w:rsid w:val="00995B67"/>
    <w:rsid w:val="00D36B79"/>
    <w:rsid w:val="00EF0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5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1444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2011-07-07T17:32:00Z</dcterms:created>
  <dcterms:modified xsi:type="dcterms:W3CDTF">2011-07-07T18:38:00Z</dcterms:modified>
</cp:coreProperties>
</file>